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0A" w:rsidRDefault="000A440A" w:rsidP="000A44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0A440A" w:rsidRDefault="000A440A" w:rsidP="000A44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0A440A" w:rsidRDefault="000A440A" w:rsidP="000A44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0A440A" w:rsidRDefault="000A440A" w:rsidP="000A44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A440A" w:rsidRDefault="000A440A" w:rsidP="000A44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0A440A" w:rsidRDefault="000A440A" w:rsidP="000A44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440A" w:rsidRDefault="000A440A" w:rsidP="000A44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A440A" w:rsidRDefault="000A440A" w:rsidP="000A44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первой сессии</w:t>
      </w:r>
    </w:p>
    <w:p w:rsidR="000A440A" w:rsidRDefault="000A440A" w:rsidP="000A44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440A" w:rsidRDefault="000A440A" w:rsidP="000A44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13.06.2023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ерх-Красноярка                                          № 1</w:t>
      </w:r>
    </w:p>
    <w:p w:rsidR="000A440A" w:rsidRDefault="000A440A" w:rsidP="000A44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440A" w:rsidRDefault="000A440A" w:rsidP="000A44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440A" w:rsidRDefault="000A440A" w:rsidP="000A44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21.12.2022 № 1</w:t>
      </w:r>
    </w:p>
    <w:p w:rsidR="000A440A" w:rsidRDefault="000A440A" w:rsidP="000A44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440A" w:rsidRDefault="000A440A" w:rsidP="000A44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решения Совета депутатов Северного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от 31.05.2023 № 9 «О предоставлении из местного бюджета Северного района Новосибирской области в местный бюджет Верх-Красноярского сельсовета Северного района Новосибирской области иных межбюджетных трансфертов» и  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0A440A" w:rsidRDefault="000A440A" w:rsidP="000A440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0A440A" w:rsidRDefault="000A440A" w:rsidP="000A44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21.12.2022г. №  1 «О местном бюджете Верх-Красноярского сельсовета Северного района  Новосибирской области на 2023 год и плановый период 2024 и 2025 годов» (с изменениями, внесенными  решением Совета депутатов Верх-Красноярского сельсовета Северного района Новосибирской области от 24.01.2023 № 1, от 28.02.2023 № 1) следующие изменения:</w:t>
      </w:r>
      <w:proofErr w:type="gramEnd"/>
    </w:p>
    <w:p w:rsidR="000A440A" w:rsidRDefault="000A440A" w:rsidP="000A440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подпункте 1 пункта 1 цифры «9994,9» заменить цифрами «10065,8», цифры «8490,2» заменить цифрами «8522,8». </w:t>
      </w:r>
    </w:p>
    <w:p w:rsidR="000A440A" w:rsidRDefault="000A440A" w:rsidP="000A440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В подпункте 2 пункта 1  цифры «10407,1»  заменить цифрами «10559,7»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440A" w:rsidRDefault="000A440A" w:rsidP="000A440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</w:rPr>
        <w:t xml:space="preserve"> В подпункте 3 пункта 1 цифры «</w:t>
      </w:r>
      <w:r>
        <w:rPr>
          <w:rFonts w:ascii="Times New Roman" w:hAnsi="Times New Roman"/>
          <w:sz w:val="28"/>
          <w:szCs w:val="28"/>
        </w:rPr>
        <w:t>412,2» заменить цифрами «493,9».</w:t>
      </w:r>
    </w:p>
    <w:p w:rsidR="000A440A" w:rsidRDefault="000A440A" w:rsidP="000A440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Утвердить:</w:t>
      </w:r>
    </w:p>
    <w:p w:rsidR="000A440A" w:rsidRDefault="000A440A" w:rsidP="000A440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Приложение 2 «Доходы местного бюджета  на 2023 год и плановый период 2024 и 2025годов» в прилагаемой редакции;</w:t>
      </w:r>
    </w:p>
    <w:p w:rsidR="000A440A" w:rsidRDefault="000A440A" w:rsidP="000A440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</w:t>
      </w:r>
      <w:r>
        <w:rPr>
          <w:rFonts w:ascii="Times New Roman" w:hAnsi="Times New Roman"/>
          <w:sz w:val="28"/>
        </w:rPr>
        <w:t xml:space="preserve"> и плановый период 2024 и 2025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0A440A" w:rsidRDefault="000A440A" w:rsidP="000A440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 Приложение  4 «Ведомственная структура расходов местного бюджета на 2023 год</w:t>
      </w:r>
      <w:r>
        <w:rPr>
          <w:rFonts w:ascii="Times New Roman" w:hAnsi="Times New Roman"/>
          <w:sz w:val="28"/>
        </w:rPr>
        <w:t xml:space="preserve"> и плановый период 2024 и 2025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0A440A" w:rsidRDefault="000A440A" w:rsidP="000A440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Приложение 7 «Источники внутреннего финансирования дефицита местного бюджета на 2023 год</w:t>
      </w:r>
      <w:r>
        <w:rPr>
          <w:rFonts w:ascii="Times New Roman" w:hAnsi="Times New Roman"/>
          <w:sz w:val="28"/>
        </w:rPr>
        <w:t xml:space="preserve"> и плановый период 2024 и 2025 годов</w:t>
      </w:r>
      <w:r>
        <w:rPr>
          <w:rFonts w:ascii="Times New Roman" w:hAnsi="Times New Roman"/>
          <w:sz w:val="28"/>
          <w:szCs w:val="28"/>
        </w:rPr>
        <w:t>» в прилагаемой редакции.</w:t>
      </w:r>
    </w:p>
    <w:p w:rsidR="000A440A" w:rsidRDefault="000A440A" w:rsidP="000A440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0A440A" w:rsidRDefault="000A440A" w:rsidP="000A440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0A440A" w:rsidTr="000A440A">
        <w:tc>
          <w:tcPr>
            <w:tcW w:w="5070" w:type="dxa"/>
            <w:hideMark/>
          </w:tcPr>
          <w:p w:rsidR="000A440A" w:rsidRDefault="000A440A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Верх-Красноярского сельсовета Северного района  </w:t>
            </w:r>
          </w:p>
          <w:p w:rsidR="000A440A" w:rsidRDefault="000A440A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0A440A" w:rsidRDefault="000A440A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0A440A" w:rsidRDefault="000A440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0A440A" w:rsidRDefault="000A440A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0A440A" w:rsidRDefault="000A440A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0A440A" w:rsidRDefault="000A440A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0A440A" w:rsidRDefault="000A440A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0A440A" w:rsidRDefault="000A440A" w:rsidP="000A4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40A" w:rsidRDefault="000A440A" w:rsidP="000A4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A440A">
          <w:pgSz w:w="11906" w:h="16838"/>
          <w:pgMar w:top="1134" w:right="851" w:bottom="1134" w:left="1701" w:header="709" w:footer="709" w:gutter="0"/>
          <w:cols w:space="720"/>
        </w:sectPr>
      </w:pPr>
    </w:p>
    <w:p w:rsidR="000A440A" w:rsidRDefault="000A440A" w:rsidP="000A440A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0A440A" w:rsidRDefault="000A440A" w:rsidP="000A440A">
      <w:pPr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13.06.2023 № 1 «</w:t>
      </w:r>
      <w:r>
        <w:rPr>
          <w:rFonts w:ascii="Times New Roman" w:hAnsi="Times New Roman"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21.12.2022 № 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A440A" w:rsidRDefault="000A440A" w:rsidP="000A4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40A" w:rsidRDefault="000A440A" w:rsidP="000A4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О Х О 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0A440A" w:rsidRDefault="000A440A" w:rsidP="000A4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местного бюджета  на 2023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плановый период 2024 и 2025 годов</w:t>
      </w:r>
    </w:p>
    <w:p w:rsidR="000A440A" w:rsidRDefault="000A440A" w:rsidP="000A440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тыс. руб.</w:t>
      </w: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7170"/>
        <w:gridCol w:w="1856"/>
        <w:gridCol w:w="1714"/>
        <w:gridCol w:w="1715"/>
      </w:tblGrid>
      <w:tr w:rsidR="000A440A" w:rsidTr="000A440A">
        <w:trPr>
          <w:trHeight w:val="49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 О Д</w:t>
            </w:r>
          </w:p>
        </w:tc>
        <w:tc>
          <w:tcPr>
            <w:tcW w:w="7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0A440A" w:rsidTr="000A440A">
        <w:trPr>
          <w:trHeight w:val="28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 год</w:t>
            </w:r>
          </w:p>
        </w:tc>
      </w:tr>
      <w:tr w:rsidR="000A440A" w:rsidTr="000A440A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1438,9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1452,6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1625,6</w:t>
            </w:r>
          </w:p>
        </w:tc>
      </w:tr>
      <w:tr w:rsidR="000A440A" w:rsidTr="000A440A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00010102000010000110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284,3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291,1</w:t>
            </w:r>
          </w:p>
        </w:tc>
      </w:tr>
      <w:tr w:rsidR="000A440A" w:rsidTr="000A440A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00010102010010000110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290,1</w:t>
            </w:r>
          </w:p>
        </w:tc>
      </w:tr>
      <w:tr w:rsidR="000A440A" w:rsidTr="000A440A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00010102020010000110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0A440A" w:rsidTr="000A440A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00010302230010000110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568,0</w:t>
            </w:r>
          </w:p>
        </w:tc>
      </w:tr>
      <w:tr w:rsidR="000A440A" w:rsidTr="000A440A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00010302240010000110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моторные масла для дизельных (или) карбюраторных (инжекторы) двигателей, подлежащие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</w:tr>
      <w:tr w:rsidR="000A440A" w:rsidTr="000A440A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00010302250010000110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624,7</w:t>
            </w:r>
          </w:p>
        </w:tc>
      </w:tr>
      <w:tr w:rsidR="000A440A" w:rsidTr="000A440A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00010302260010000110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-56,7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-55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-60,2</w:t>
            </w:r>
          </w:p>
        </w:tc>
      </w:tr>
      <w:tr w:rsidR="000A440A" w:rsidTr="000A440A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00010601030100000110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28,2</w:t>
            </w:r>
          </w:p>
        </w:tc>
      </w:tr>
      <w:tr w:rsidR="000A440A" w:rsidTr="000A440A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00010606033100000110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120,4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120,4</w:t>
            </w:r>
          </w:p>
        </w:tc>
      </w:tr>
      <w:tr w:rsidR="000A440A" w:rsidTr="000A440A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00010606043100000110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0A440A" w:rsidTr="000A440A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104,1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47,3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47,3</w:t>
            </w:r>
          </w:p>
        </w:tc>
      </w:tr>
      <w:tr w:rsidR="000A440A" w:rsidTr="000A440A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00010804020010000110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0A440A" w:rsidTr="000A440A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00011105025100000120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</w:tr>
      <w:tr w:rsidR="000A440A" w:rsidTr="000A440A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00011105035100000120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27,2</w:t>
            </w:r>
          </w:p>
        </w:tc>
      </w:tr>
      <w:tr w:rsidR="000A440A" w:rsidTr="000A440A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00011302995100000130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Прочие доходы от компенсации затрат бюджетов сельских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38,3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00011715030100000150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1543,0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1499,9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1672,9</w:t>
            </w:r>
          </w:p>
        </w:tc>
      </w:tr>
      <w:tr w:rsidR="000A440A" w:rsidTr="000A440A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00020216001100000150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3587,5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2227,0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2539,4</w:t>
            </w:r>
          </w:p>
        </w:tc>
      </w:tr>
      <w:tr w:rsidR="000A440A" w:rsidTr="000A440A">
        <w:trPr>
          <w:trHeight w:val="8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00020235118100000150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</w:tr>
      <w:tr w:rsidR="000A440A" w:rsidTr="000A440A">
        <w:trPr>
          <w:trHeight w:val="8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00020230024100000150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0A440A" w:rsidTr="000A440A">
        <w:trPr>
          <w:trHeight w:val="5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00020249999100000150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4093,7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4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00020229999100000150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633,6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10065,8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3871,9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4362,9</w:t>
            </w:r>
          </w:p>
        </w:tc>
      </w:tr>
    </w:tbl>
    <w:p w:rsidR="000A440A" w:rsidRDefault="000A440A" w:rsidP="000A440A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0A440A" w:rsidRDefault="000A440A" w:rsidP="000A440A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0A440A" w:rsidRDefault="000A440A" w:rsidP="000A440A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0A440A" w:rsidRDefault="000A440A" w:rsidP="000A440A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0A440A" w:rsidRDefault="000A440A" w:rsidP="000A440A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0A440A" w:rsidRDefault="000A440A" w:rsidP="000A440A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0A440A" w:rsidRDefault="000A440A" w:rsidP="000A440A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0A440A" w:rsidRDefault="000A440A" w:rsidP="000A440A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0A440A" w:rsidRDefault="000A440A" w:rsidP="000A440A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0A440A" w:rsidRDefault="000A440A" w:rsidP="000A440A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0A440A" w:rsidRDefault="000A440A" w:rsidP="000A440A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0A440A" w:rsidRDefault="000A440A" w:rsidP="000A440A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0A440A" w:rsidRDefault="000A440A" w:rsidP="000A440A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0A440A" w:rsidRDefault="000A440A" w:rsidP="000A440A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0A440A" w:rsidRDefault="000A440A" w:rsidP="000A440A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0A440A" w:rsidRDefault="000A440A" w:rsidP="000A440A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</w:rPr>
      </w:pPr>
    </w:p>
    <w:p w:rsidR="000A440A" w:rsidRDefault="000A440A" w:rsidP="000A440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 3</w:t>
      </w:r>
    </w:p>
    <w:p w:rsidR="000A440A" w:rsidRDefault="000A440A" w:rsidP="000A440A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13.06.2023 №</w:t>
      </w:r>
      <w:r>
        <w:rPr>
          <w:rFonts w:ascii="Times New Roman" w:hAnsi="Times New Roman" w:cs="Times New Roman"/>
          <w:sz w:val="24"/>
          <w:szCs w:val="24"/>
        </w:rPr>
        <w:t xml:space="preserve"> 1 «</w:t>
      </w:r>
      <w:r>
        <w:rPr>
          <w:rFonts w:ascii="Times New Roman" w:hAnsi="Times New Roman"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21.12.2022 № 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</w:rPr>
      </w:pP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</w:rPr>
      </w:pPr>
    </w:p>
    <w:p w:rsidR="000A440A" w:rsidRDefault="000A440A" w:rsidP="000A440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2023 год и плановый период 2024 и 2025 годов</w:t>
      </w:r>
    </w:p>
    <w:p w:rsidR="000A440A" w:rsidRDefault="000A440A" w:rsidP="000A440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594" w:type="dxa"/>
        <w:tblInd w:w="95" w:type="dxa"/>
        <w:tblLook w:val="04A0"/>
      </w:tblPr>
      <w:tblGrid>
        <w:gridCol w:w="5400"/>
        <w:gridCol w:w="850"/>
        <w:gridCol w:w="851"/>
        <w:gridCol w:w="1843"/>
        <w:gridCol w:w="850"/>
        <w:gridCol w:w="1843"/>
        <w:gridCol w:w="1984"/>
        <w:gridCol w:w="1973"/>
      </w:tblGrid>
      <w:tr w:rsidR="000A440A" w:rsidTr="000A440A">
        <w:trPr>
          <w:trHeight w:val="517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2023 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2024 год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2025 год</w:t>
            </w:r>
          </w:p>
        </w:tc>
      </w:tr>
      <w:tr w:rsidR="000A440A" w:rsidTr="000A440A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10559,7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3 871,9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4 362,9</w:t>
            </w:r>
          </w:p>
        </w:tc>
      </w:tr>
      <w:tr w:rsidR="000A440A" w:rsidTr="000A440A">
        <w:trPr>
          <w:trHeight w:val="31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4755,0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1 333,1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1 733,1</w:t>
            </w:r>
          </w:p>
        </w:tc>
      </w:tr>
      <w:tr w:rsidR="000A440A" w:rsidTr="000A440A">
        <w:trPr>
          <w:trHeight w:val="8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922,4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0A440A" w:rsidTr="000A440A">
        <w:trPr>
          <w:trHeight w:val="56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922,4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0A440A" w:rsidTr="000A440A">
        <w:trPr>
          <w:trHeight w:val="27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0A440A" w:rsidTr="000A440A">
        <w:trPr>
          <w:trHeight w:val="12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902,4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144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3739,6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1 150,1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3739,6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1 150,1</w:t>
            </w:r>
          </w:p>
        </w:tc>
      </w:tr>
      <w:tr w:rsidR="000A440A" w:rsidTr="000A440A">
        <w:trPr>
          <w:trHeight w:val="85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1768,1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1 150,0</w:t>
            </w:r>
          </w:p>
        </w:tc>
      </w:tr>
      <w:tr w:rsidR="000A440A" w:rsidTr="000A440A">
        <w:trPr>
          <w:trHeight w:val="126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0A440A" w:rsidTr="000A440A">
        <w:trPr>
          <w:trHeight w:val="56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0A440A" w:rsidTr="000A440A">
        <w:trPr>
          <w:trHeight w:val="54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0A440A" w:rsidTr="000A440A">
        <w:trPr>
          <w:trHeight w:val="8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0A440A" w:rsidTr="000A440A">
        <w:trPr>
          <w:trHeight w:val="271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0A440A" w:rsidTr="000A440A">
        <w:trPr>
          <w:trHeight w:val="2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0A440A" w:rsidTr="000A440A">
        <w:trPr>
          <w:trHeight w:val="54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0A440A" w:rsidTr="000A440A">
        <w:trPr>
          <w:trHeight w:val="70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0A440A" w:rsidTr="000A440A">
        <w:trPr>
          <w:trHeight w:val="429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1971,4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0A440A" w:rsidTr="000A440A">
        <w:trPr>
          <w:trHeight w:val="102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0A440A" w:rsidTr="000A440A">
        <w:trPr>
          <w:trHeight w:val="11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0A440A" w:rsidTr="000A440A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11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0A440A" w:rsidTr="000A440A">
        <w:trPr>
          <w:trHeight w:val="169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1 135,9</w:t>
            </w:r>
          </w:p>
        </w:tc>
      </w:tr>
      <w:tr w:rsidR="000A440A" w:rsidTr="000A440A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1 135,9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1256,0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1206,0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1206,0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872,0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0A440A" w:rsidTr="000A440A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Софинансирование проектов развития территорий муниципальных образований Новосибирской области, основанных на местных инициативах в рамках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A440A" w:rsidRDefault="000A440A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3177,9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3177,9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3177,9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0A440A" w:rsidTr="000A440A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1409,0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432,8</w:t>
            </w:r>
          </w:p>
        </w:tc>
      </w:tr>
      <w:tr w:rsidR="000A440A" w:rsidTr="000A440A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432,8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Реализация социально значимых проектов в сфере развития общественной инфраструктуры  в рамках подпрограммы «Содействие развитию местного самоуправления» государственной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A440A" w:rsidRDefault="000A440A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A440A" w:rsidRDefault="000A440A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Реализация социально значимых проектов в сфере развития общественной инфраструктуры  за счет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средств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0A440A" w:rsidTr="000A440A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210,6</w:t>
            </w:r>
          </w:p>
        </w:tc>
      </w:tr>
      <w:tr w:rsidR="000A440A" w:rsidTr="000A440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210,6</w:t>
            </w:r>
          </w:p>
        </w:tc>
      </w:tr>
      <w:tr w:rsidR="000A440A" w:rsidTr="000A440A">
        <w:trPr>
          <w:trHeight w:val="2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10559,7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3 871,9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4 362,9</w:t>
            </w:r>
          </w:p>
        </w:tc>
      </w:tr>
    </w:tbl>
    <w:p w:rsidR="000A440A" w:rsidRDefault="000A440A" w:rsidP="000A440A">
      <w:pPr>
        <w:tabs>
          <w:tab w:val="left" w:pos="53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</w:rPr>
      </w:pP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</w:rPr>
      </w:pP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</w:rPr>
      </w:pP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</w:rPr>
      </w:pP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</w:rPr>
      </w:pP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</w:rPr>
      </w:pP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</w:rPr>
      </w:pP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</w:rPr>
      </w:pP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</w:rPr>
      </w:pP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</w:rPr>
      </w:pP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</w:rPr>
      </w:pP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</w:rPr>
      </w:pP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</w:rPr>
      </w:pP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</w:rPr>
      </w:pP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</w:rPr>
      </w:pP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</w:rPr>
      </w:pP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</w:rPr>
      </w:pP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</w:rPr>
      </w:pP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</w:rPr>
      </w:pP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</w:rPr>
      </w:pPr>
    </w:p>
    <w:p w:rsidR="000A440A" w:rsidRDefault="000A440A" w:rsidP="000A440A">
      <w:pPr>
        <w:spacing w:after="0" w:line="240" w:lineRule="auto"/>
        <w:rPr>
          <w:rFonts w:ascii="Times New Roman" w:hAnsi="Times New Roman" w:cs="Times New Roman"/>
        </w:rPr>
      </w:pPr>
    </w:p>
    <w:p w:rsidR="000A440A" w:rsidRDefault="000A440A" w:rsidP="000A440A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 4</w:t>
      </w:r>
    </w:p>
    <w:p w:rsidR="000A440A" w:rsidRDefault="000A440A" w:rsidP="000A440A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13.06.2023 №</w:t>
      </w:r>
      <w:r>
        <w:rPr>
          <w:rFonts w:ascii="Times New Roman" w:hAnsi="Times New Roman" w:cs="Times New Roman"/>
          <w:sz w:val="24"/>
          <w:szCs w:val="24"/>
        </w:rPr>
        <w:t xml:space="preserve"> 1 «</w:t>
      </w:r>
      <w:r>
        <w:rPr>
          <w:rFonts w:ascii="Times New Roman" w:hAnsi="Times New Roman"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21.12.2022 № 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A440A" w:rsidRDefault="000A440A" w:rsidP="000A440A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</w:p>
    <w:p w:rsidR="000A440A" w:rsidRDefault="000A440A" w:rsidP="000A440A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</w:p>
    <w:p w:rsidR="000A440A" w:rsidRDefault="000A440A" w:rsidP="000A440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2023 год и плановый период 2024 и 2025 годов</w:t>
      </w:r>
      <w:r>
        <w:rPr>
          <w:rFonts w:ascii="Times New Roman" w:hAnsi="Times New Roman" w:cs="Times New Roman"/>
        </w:rPr>
        <w:t xml:space="preserve">    </w:t>
      </w:r>
    </w:p>
    <w:p w:rsidR="000A440A" w:rsidRDefault="000A440A" w:rsidP="000A44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0A440A" w:rsidTr="000A440A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Сумма на 2023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Сумма на 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Сумма на  2025 год</w:t>
            </w:r>
          </w:p>
        </w:tc>
      </w:tr>
      <w:tr w:rsidR="000A440A" w:rsidTr="000A440A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10559,7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3 871,9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4 362,9</w:t>
            </w:r>
          </w:p>
        </w:tc>
      </w:tr>
      <w:tr w:rsidR="000A440A" w:rsidTr="000A440A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4755,0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1 333,1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1 733,1</w:t>
            </w:r>
          </w:p>
        </w:tc>
      </w:tr>
      <w:tr w:rsidR="000A440A" w:rsidTr="000A440A">
        <w:trPr>
          <w:trHeight w:val="8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0A440A" w:rsidTr="000A440A">
        <w:trPr>
          <w:trHeight w:val="5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0A440A" w:rsidTr="000A440A">
        <w:trPr>
          <w:trHeight w:val="12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0A440A" w:rsidTr="000A440A">
        <w:trPr>
          <w:trHeight w:val="52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140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3739,6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1 150,1</w:t>
            </w:r>
          </w:p>
        </w:tc>
      </w:tr>
      <w:tr w:rsidR="000A440A" w:rsidTr="000A440A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3739,6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1 150,1</w:t>
            </w:r>
          </w:p>
        </w:tc>
      </w:tr>
      <w:tr w:rsidR="000A440A" w:rsidTr="000A440A">
        <w:trPr>
          <w:trHeight w:val="85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1768,1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1 150,0</w:t>
            </w:r>
          </w:p>
        </w:tc>
      </w:tr>
      <w:tr w:rsidR="000A440A" w:rsidTr="000A440A">
        <w:trPr>
          <w:trHeight w:val="125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0A440A" w:rsidTr="000A440A">
        <w:trPr>
          <w:trHeight w:val="5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0A440A" w:rsidTr="000A440A">
        <w:trPr>
          <w:trHeight w:val="6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0A440A" w:rsidTr="000A440A">
        <w:trPr>
          <w:trHeight w:val="7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0A440A" w:rsidTr="000A440A">
        <w:trPr>
          <w:trHeight w:val="17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0A440A" w:rsidTr="000A440A">
        <w:trPr>
          <w:trHeight w:val="3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0A440A" w:rsidTr="000A440A">
        <w:trPr>
          <w:trHeight w:val="4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0A440A" w:rsidTr="000A440A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0A440A" w:rsidTr="000A440A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/>
              <w:rPr>
                <w:rFonts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0A440A" w:rsidTr="000A440A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0A440A" w:rsidTr="000A440A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979,6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0A440A" w:rsidTr="000A440A">
        <w:trPr>
          <w:trHeight w:val="172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1 135,9</w:t>
            </w:r>
          </w:p>
        </w:tc>
      </w:tr>
      <w:tr w:rsidR="000A440A" w:rsidTr="000A440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1 135,9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1256,0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1206,0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0A440A" w:rsidTr="000A440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 в рамках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A440A" w:rsidRDefault="000A440A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3177,9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3177,9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3177,9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0A440A" w:rsidTr="000A440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432,8</w:t>
            </w:r>
          </w:p>
        </w:tc>
      </w:tr>
      <w:tr w:rsidR="000A440A" w:rsidTr="000A440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432,8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Реализация социально значимых проектов в сфере развития общественной инфраструктуры 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A440A" w:rsidRDefault="000A440A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A440A" w:rsidRDefault="000A440A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Реализация социально значимых проектов в сфере развития общественной инфраструктуры  за счет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средств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0A440A" w:rsidTr="000A44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210,6</w:t>
            </w:r>
          </w:p>
        </w:tc>
      </w:tr>
      <w:tr w:rsidR="000A440A" w:rsidTr="000A440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210,6</w:t>
            </w:r>
          </w:p>
        </w:tc>
      </w:tr>
      <w:tr w:rsidR="000A440A" w:rsidTr="000A440A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10559,7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3 871,9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40A" w:rsidRDefault="000A4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4 362,9</w:t>
            </w:r>
          </w:p>
        </w:tc>
      </w:tr>
    </w:tbl>
    <w:p w:rsidR="000A440A" w:rsidRDefault="000A440A" w:rsidP="000A4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A440A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0A440A" w:rsidRDefault="000A440A" w:rsidP="000A440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7</w:t>
      </w:r>
    </w:p>
    <w:p w:rsidR="000A440A" w:rsidRDefault="000A440A" w:rsidP="000A440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13.06.2023 № 1 «</w:t>
      </w:r>
      <w:r>
        <w:rPr>
          <w:rFonts w:ascii="Times New Roman" w:hAnsi="Times New Roman"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21.12.2022 № 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A440A" w:rsidRDefault="000A440A" w:rsidP="000A44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40A" w:rsidRDefault="000A440A" w:rsidP="000A44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0A440A" w:rsidRDefault="000A440A" w:rsidP="000A44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внутреннего финансирования дефицита местного бюджета</w:t>
      </w:r>
    </w:p>
    <w:p w:rsidR="000A440A" w:rsidRDefault="000A440A" w:rsidP="000A44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 год и плановый период 2024 и 2025годов</w:t>
      </w:r>
    </w:p>
    <w:p w:rsidR="000A440A" w:rsidRDefault="000A440A" w:rsidP="000A440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tbl>
      <w:tblPr>
        <w:tblW w:w="1047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376"/>
        <w:gridCol w:w="3972"/>
        <w:gridCol w:w="1135"/>
        <w:gridCol w:w="994"/>
        <w:gridCol w:w="993"/>
      </w:tblGrid>
      <w:tr w:rsidR="000A440A" w:rsidTr="000A440A">
        <w:trPr>
          <w:trHeight w:val="369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внутреннего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440A" w:rsidTr="000A440A">
        <w:trPr>
          <w:trHeight w:val="421"/>
        </w:trPr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0A440A" w:rsidTr="000A440A">
        <w:trPr>
          <w:trHeight w:val="28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A440A" w:rsidTr="000A440A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A440A" w:rsidTr="000A440A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A440A" w:rsidTr="000A440A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A440A" w:rsidTr="000A440A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A440A" w:rsidTr="000A440A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A440A" w:rsidTr="000A440A">
        <w:trPr>
          <w:trHeight w:val="653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000 01 00 0000 00 0000 000</w:t>
            </w:r>
          </w:p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0A440A" w:rsidTr="000A440A">
        <w:trPr>
          <w:trHeight w:val="70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000 01 05 0000 00 0000 000</w:t>
            </w:r>
          </w:p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0A440A" w:rsidTr="000A440A">
        <w:trPr>
          <w:trHeight w:val="28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000 01 05 0000 00 0000 500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-10065,8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-4362,9</w:t>
            </w:r>
          </w:p>
        </w:tc>
      </w:tr>
      <w:tr w:rsidR="000A440A" w:rsidTr="000A440A">
        <w:trPr>
          <w:trHeight w:val="557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000 01 05 0201 10 0000 510</w:t>
            </w:r>
          </w:p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-10065,8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-4362,9</w:t>
            </w:r>
          </w:p>
        </w:tc>
      </w:tr>
      <w:tr w:rsidR="000A440A" w:rsidTr="000A440A">
        <w:trPr>
          <w:trHeight w:val="27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000 01 05 0000 00 0000 600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10559,7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4362,9</w:t>
            </w:r>
          </w:p>
        </w:tc>
      </w:tr>
      <w:tr w:rsidR="000A440A" w:rsidTr="000A440A">
        <w:trPr>
          <w:trHeight w:val="566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000 01 05 0201 10 0000 610</w:t>
            </w:r>
          </w:p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10559,7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0A" w:rsidRDefault="000A4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4362,9</w:t>
            </w:r>
          </w:p>
        </w:tc>
      </w:tr>
    </w:tbl>
    <w:p w:rsidR="000A440A" w:rsidRDefault="000A440A" w:rsidP="000A440A"/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440A"/>
    <w:rsid w:val="00014144"/>
    <w:rsid w:val="00014DAF"/>
    <w:rsid w:val="000618E4"/>
    <w:rsid w:val="000A0B5C"/>
    <w:rsid w:val="000A440A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97489"/>
    <w:rsid w:val="005A6BBB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0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A44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A440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A44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4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A44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A440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11"/>
    <w:uiPriority w:val="99"/>
    <w:semiHidden/>
    <w:unhideWhenUsed/>
    <w:rsid w:val="000A4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440A"/>
    <w:rPr>
      <w:rFonts w:eastAsiaTheme="minorEastAsia"/>
      <w:sz w:val="20"/>
      <w:szCs w:val="20"/>
      <w:lang w:eastAsia="ru-RU"/>
    </w:rPr>
  </w:style>
  <w:style w:type="paragraph" w:styleId="a5">
    <w:name w:val="annotation text"/>
    <w:basedOn w:val="a"/>
    <w:link w:val="12"/>
    <w:uiPriority w:val="99"/>
    <w:semiHidden/>
    <w:unhideWhenUsed/>
    <w:rsid w:val="000A440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40A"/>
    <w:rPr>
      <w:rFonts w:eastAsiaTheme="minorEastAsia"/>
      <w:sz w:val="20"/>
      <w:szCs w:val="20"/>
      <w:lang w:eastAsia="ru-RU"/>
    </w:rPr>
  </w:style>
  <w:style w:type="paragraph" w:styleId="a7">
    <w:name w:val="header"/>
    <w:basedOn w:val="a"/>
    <w:link w:val="13"/>
    <w:uiPriority w:val="99"/>
    <w:semiHidden/>
    <w:unhideWhenUsed/>
    <w:rsid w:val="000A44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A440A"/>
    <w:rPr>
      <w:rFonts w:eastAsiaTheme="minorEastAsia"/>
      <w:lang w:eastAsia="ru-RU"/>
    </w:rPr>
  </w:style>
  <w:style w:type="paragraph" w:styleId="a9">
    <w:name w:val="footer"/>
    <w:basedOn w:val="a"/>
    <w:link w:val="14"/>
    <w:uiPriority w:val="99"/>
    <w:semiHidden/>
    <w:unhideWhenUsed/>
    <w:rsid w:val="000A44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A440A"/>
    <w:rPr>
      <w:rFonts w:eastAsiaTheme="minorEastAsia"/>
      <w:lang w:eastAsia="ru-RU"/>
    </w:rPr>
  </w:style>
  <w:style w:type="paragraph" w:styleId="ab">
    <w:name w:val="Title"/>
    <w:basedOn w:val="a"/>
    <w:link w:val="15"/>
    <w:uiPriority w:val="99"/>
    <w:qFormat/>
    <w:rsid w:val="000A44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0A44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Body Text"/>
    <w:basedOn w:val="a"/>
    <w:link w:val="16"/>
    <w:uiPriority w:val="99"/>
    <w:semiHidden/>
    <w:unhideWhenUsed/>
    <w:rsid w:val="000A440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ae">
    <w:name w:val="Основной текст Знак"/>
    <w:basedOn w:val="a0"/>
    <w:link w:val="ad"/>
    <w:uiPriority w:val="99"/>
    <w:semiHidden/>
    <w:rsid w:val="000A440A"/>
    <w:rPr>
      <w:rFonts w:eastAsiaTheme="minorEastAsia"/>
      <w:lang w:eastAsia="ru-RU"/>
    </w:rPr>
  </w:style>
  <w:style w:type="paragraph" w:styleId="af">
    <w:name w:val="Body Text Indent"/>
    <w:basedOn w:val="a"/>
    <w:link w:val="17"/>
    <w:uiPriority w:val="99"/>
    <w:semiHidden/>
    <w:unhideWhenUsed/>
    <w:rsid w:val="000A440A"/>
    <w:pPr>
      <w:spacing w:after="120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A440A"/>
    <w:rPr>
      <w:rFonts w:eastAsiaTheme="minorEastAsia"/>
      <w:lang w:eastAsia="ru-RU"/>
    </w:rPr>
  </w:style>
  <w:style w:type="paragraph" w:styleId="2">
    <w:name w:val="Body Text 2"/>
    <w:basedOn w:val="a"/>
    <w:link w:val="21"/>
    <w:uiPriority w:val="99"/>
    <w:semiHidden/>
    <w:unhideWhenUsed/>
    <w:rsid w:val="000A440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A440A"/>
    <w:rPr>
      <w:rFonts w:eastAsiaTheme="minorEastAsia"/>
      <w:lang w:eastAsia="ru-RU"/>
    </w:rPr>
  </w:style>
  <w:style w:type="paragraph" w:styleId="22">
    <w:name w:val="Body Text Indent 2"/>
    <w:basedOn w:val="a"/>
    <w:link w:val="210"/>
    <w:uiPriority w:val="99"/>
    <w:semiHidden/>
    <w:unhideWhenUsed/>
    <w:rsid w:val="000A440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A440A"/>
    <w:rPr>
      <w:rFonts w:eastAsiaTheme="minorEastAsia"/>
      <w:lang w:eastAsia="ru-RU"/>
    </w:rPr>
  </w:style>
  <w:style w:type="paragraph" w:styleId="af1">
    <w:name w:val="annotation subject"/>
    <w:basedOn w:val="a5"/>
    <w:next w:val="a5"/>
    <w:link w:val="18"/>
    <w:uiPriority w:val="99"/>
    <w:semiHidden/>
    <w:unhideWhenUsed/>
    <w:rsid w:val="000A440A"/>
    <w:rPr>
      <w:b/>
      <w:bCs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0A440A"/>
    <w:rPr>
      <w:b/>
      <w:bCs/>
    </w:rPr>
  </w:style>
  <w:style w:type="paragraph" w:styleId="af3">
    <w:name w:val="Balloon Text"/>
    <w:basedOn w:val="a"/>
    <w:link w:val="19"/>
    <w:uiPriority w:val="99"/>
    <w:semiHidden/>
    <w:unhideWhenUsed/>
    <w:rsid w:val="000A440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440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Без интервала Знак"/>
    <w:aliases w:val="с интервалом Знак,Без интервала1 Знак,No Spacing1 Знак,No Spacing Знак"/>
    <w:basedOn w:val="a0"/>
    <w:link w:val="af6"/>
    <w:uiPriority w:val="1"/>
    <w:locked/>
    <w:rsid w:val="000A440A"/>
    <w:rPr>
      <w:rFonts w:ascii="Calibri" w:eastAsia="Times New Roman" w:hAnsi="Calibri" w:cs="Times New Roman"/>
    </w:rPr>
  </w:style>
  <w:style w:type="paragraph" w:styleId="af6">
    <w:name w:val="No Spacing"/>
    <w:aliases w:val="с интервалом,Без интервала1,No Spacing1,No Spacing"/>
    <w:link w:val="af5"/>
    <w:uiPriority w:val="1"/>
    <w:qFormat/>
    <w:rsid w:val="000A44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0A440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0A4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7">
    <w:name w:val="Основной текст_"/>
    <w:link w:val="1a"/>
    <w:locked/>
    <w:rsid w:val="000A440A"/>
    <w:rPr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7"/>
    <w:rsid w:val="000A440A"/>
    <w:pPr>
      <w:shd w:val="clear" w:color="auto" w:fill="FFFFFF"/>
      <w:spacing w:after="180" w:line="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af8">
    <w:name w:val="_ТЕКСТ Знак"/>
    <w:link w:val="af9"/>
    <w:locked/>
    <w:rsid w:val="000A440A"/>
    <w:rPr>
      <w:rFonts w:ascii="Arial" w:hAnsi="Arial" w:cs="Arial"/>
      <w:sz w:val="24"/>
    </w:rPr>
  </w:style>
  <w:style w:type="paragraph" w:customStyle="1" w:styleId="af9">
    <w:name w:val="_ТЕКСТ"/>
    <w:basedOn w:val="a"/>
    <w:link w:val="af8"/>
    <w:qFormat/>
    <w:rsid w:val="000A440A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  <w:lang w:eastAsia="en-US"/>
    </w:rPr>
  </w:style>
  <w:style w:type="character" w:customStyle="1" w:styleId="afa">
    <w:name w:val="Обычный текст Знак"/>
    <w:link w:val="afb"/>
    <w:uiPriority w:val="99"/>
    <w:locked/>
    <w:rsid w:val="000A440A"/>
    <w:rPr>
      <w:sz w:val="28"/>
      <w:szCs w:val="28"/>
    </w:rPr>
  </w:style>
  <w:style w:type="paragraph" w:customStyle="1" w:styleId="afb">
    <w:name w:val="Обычный текст"/>
    <w:basedOn w:val="a"/>
    <w:link w:val="afa"/>
    <w:uiPriority w:val="99"/>
    <w:rsid w:val="000A440A"/>
    <w:pPr>
      <w:spacing w:after="0" w:line="240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11">
    <w:name w:val="Текст сноски Знак1"/>
    <w:basedOn w:val="a0"/>
    <w:link w:val="a3"/>
    <w:uiPriority w:val="99"/>
    <w:semiHidden/>
    <w:locked/>
    <w:rsid w:val="000A4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5"/>
    <w:uiPriority w:val="99"/>
    <w:semiHidden/>
    <w:locked/>
    <w:rsid w:val="000A440A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Верхний колонтитул Знак1"/>
    <w:basedOn w:val="a0"/>
    <w:link w:val="a7"/>
    <w:uiPriority w:val="99"/>
    <w:semiHidden/>
    <w:locked/>
    <w:rsid w:val="000A440A"/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0A440A"/>
    <w:rPr>
      <w:rFonts w:ascii="Calibri" w:eastAsia="Times New Roman" w:hAnsi="Calibri" w:cs="Times New Roman"/>
      <w:lang w:eastAsia="ru-RU"/>
    </w:rPr>
  </w:style>
  <w:style w:type="character" w:customStyle="1" w:styleId="15">
    <w:name w:val="Название Знак1"/>
    <w:basedOn w:val="a0"/>
    <w:link w:val="ab"/>
    <w:uiPriority w:val="99"/>
    <w:locked/>
    <w:rsid w:val="000A44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Знак1"/>
    <w:basedOn w:val="a0"/>
    <w:link w:val="ad"/>
    <w:uiPriority w:val="99"/>
    <w:semiHidden/>
    <w:locked/>
    <w:rsid w:val="000A440A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locked/>
    <w:rsid w:val="000A440A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0A4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0A440A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18">
    <w:name w:val="Тема примечания Знак1"/>
    <w:basedOn w:val="12"/>
    <w:link w:val="af1"/>
    <w:uiPriority w:val="99"/>
    <w:semiHidden/>
    <w:locked/>
    <w:rsid w:val="000A440A"/>
    <w:rPr>
      <w:b/>
      <w:bCs/>
    </w:rPr>
  </w:style>
  <w:style w:type="character" w:customStyle="1" w:styleId="19">
    <w:name w:val="Текст выноски Знак1"/>
    <w:basedOn w:val="a0"/>
    <w:link w:val="af3"/>
    <w:uiPriority w:val="99"/>
    <w:semiHidden/>
    <w:locked/>
    <w:rsid w:val="000A440A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5420</Words>
  <Characters>30899</Characters>
  <Application>Microsoft Office Word</Application>
  <DocSecurity>0</DocSecurity>
  <Lines>257</Lines>
  <Paragraphs>72</Paragraphs>
  <ScaleCrop>false</ScaleCrop>
  <Company/>
  <LinksUpToDate>false</LinksUpToDate>
  <CharactersWithSpaces>36247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2023-07-12T09:32:00Z</dcterms:created>
  <dcterms:modified xsi:type="dcterms:W3CDTF">2023-07-12T09:32:00Z</dcterms:modified>
</cp:coreProperties>
</file>